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E1257" w14:textId="0E196E47" w:rsidR="006F6AF7" w:rsidRPr="00327F3F" w:rsidRDefault="006F6AF7" w:rsidP="006C7692">
      <w:pPr>
        <w:pStyle w:val="Heading1"/>
      </w:pPr>
      <w:r w:rsidRPr="00327F3F">
        <w:t>‘</w:t>
      </w:r>
      <w:proofErr w:type="spellStart"/>
      <w:r w:rsidRPr="00327F3F">
        <w:t>Sensorveiledning</w:t>
      </w:r>
      <w:proofErr w:type="spellEnd"/>
      <w:r w:rsidRPr="00327F3F">
        <w:t>’ – MEVIT 47</w:t>
      </w:r>
      <w:r w:rsidR="00C81797">
        <w:t>1</w:t>
      </w:r>
      <w:r w:rsidRPr="00327F3F">
        <w:t>0, Screen Histories</w:t>
      </w:r>
      <w:r w:rsidR="00AD699D">
        <w:t xml:space="preserve"> and Theories</w:t>
      </w:r>
    </w:p>
    <w:p w14:paraId="5CD7B1B0" w14:textId="56BAC47E" w:rsidR="006F6AF7" w:rsidRPr="00327F3F" w:rsidRDefault="006F6AF7" w:rsidP="006F6AF7">
      <w:pPr>
        <w:shd w:val="clear" w:color="auto" w:fill="FFFFFF"/>
        <w:ind w:left="720" w:hanging="360"/>
        <w:rPr>
          <w:rFonts w:ascii="Arial" w:hAnsi="Arial" w:cs="Arial"/>
          <w:sz w:val="22"/>
          <w:szCs w:val="22"/>
        </w:rPr>
      </w:pPr>
    </w:p>
    <w:p w14:paraId="561107E3" w14:textId="32ACE2EE" w:rsidR="006F6AF7" w:rsidRPr="00327F3F" w:rsidRDefault="006F6AF7" w:rsidP="006F6AF7">
      <w:pPr>
        <w:shd w:val="clear" w:color="auto" w:fill="FFFFFF"/>
        <w:ind w:left="720" w:hanging="360"/>
        <w:rPr>
          <w:rFonts w:ascii="Arial" w:hAnsi="Arial" w:cs="Arial"/>
          <w:sz w:val="22"/>
          <w:szCs w:val="22"/>
        </w:rPr>
      </w:pPr>
      <w:r w:rsidRPr="00327F3F">
        <w:rPr>
          <w:rFonts w:ascii="Arial" w:hAnsi="Arial" w:cs="Arial"/>
          <w:sz w:val="22"/>
          <w:szCs w:val="22"/>
        </w:rPr>
        <w:t xml:space="preserve">This </w:t>
      </w:r>
      <w:r w:rsidR="004F3C3D">
        <w:rPr>
          <w:rFonts w:ascii="Arial" w:hAnsi="Arial" w:cs="Arial"/>
          <w:sz w:val="22"/>
          <w:szCs w:val="22"/>
        </w:rPr>
        <w:t>1</w:t>
      </w:r>
      <w:r w:rsidRPr="00327F3F">
        <w:rPr>
          <w:rFonts w:ascii="Arial" w:hAnsi="Arial" w:cs="Arial"/>
          <w:sz w:val="22"/>
          <w:szCs w:val="22"/>
        </w:rPr>
        <w:t xml:space="preserve">0-study-points course has a take-home exam </w:t>
      </w:r>
      <w:r w:rsidR="004F3C3D">
        <w:rPr>
          <w:rFonts w:ascii="Arial" w:hAnsi="Arial" w:cs="Arial"/>
          <w:sz w:val="22"/>
          <w:szCs w:val="22"/>
        </w:rPr>
        <w:t>as assessment form</w:t>
      </w:r>
      <w:r w:rsidR="00C157C8">
        <w:rPr>
          <w:rFonts w:ascii="Arial" w:hAnsi="Arial" w:cs="Arial"/>
          <w:sz w:val="22"/>
          <w:szCs w:val="22"/>
        </w:rPr>
        <w:t>at</w:t>
      </w:r>
      <w:r w:rsidRPr="00327F3F">
        <w:rPr>
          <w:rFonts w:ascii="Arial" w:hAnsi="Arial" w:cs="Arial"/>
          <w:sz w:val="22"/>
          <w:szCs w:val="22"/>
        </w:rPr>
        <w:t xml:space="preserve">. </w:t>
      </w:r>
    </w:p>
    <w:p w14:paraId="37AEEC86" w14:textId="4CB499F6" w:rsidR="006F6AF7" w:rsidRPr="00327F3F" w:rsidRDefault="006F6AF7" w:rsidP="006F6AF7">
      <w:pPr>
        <w:shd w:val="clear" w:color="auto" w:fill="FFFFFF"/>
        <w:ind w:left="720" w:hanging="360"/>
        <w:rPr>
          <w:rFonts w:ascii="Arial" w:hAnsi="Arial" w:cs="Arial"/>
          <w:sz w:val="22"/>
          <w:szCs w:val="22"/>
        </w:rPr>
      </w:pPr>
    </w:p>
    <w:p w14:paraId="47833E92" w14:textId="71E4D784" w:rsidR="006F6AF7" w:rsidRPr="00327F3F" w:rsidRDefault="006F6AF7" w:rsidP="00606FCC">
      <w:pPr>
        <w:shd w:val="clear" w:color="auto" w:fill="FFFFFF"/>
        <w:ind w:left="720" w:hanging="360"/>
        <w:rPr>
          <w:rFonts w:ascii="Arial" w:hAnsi="Arial" w:cs="Arial"/>
          <w:sz w:val="22"/>
          <w:szCs w:val="22"/>
        </w:rPr>
      </w:pPr>
      <w:r w:rsidRPr="00327F3F">
        <w:rPr>
          <w:rFonts w:ascii="Arial" w:hAnsi="Arial" w:cs="Arial"/>
          <w:sz w:val="22"/>
          <w:szCs w:val="22"/>
        </w:rPr>
        <w:t xml:space="preserve">For </w:t>
      </w:r>
      <w:r w:rsidR="00532804">
        <w:rPr>
          <w:rFonts w:ascii="Arial" w:hAnsi="Arial" w:cs="Arial"/>
          <w:sz w:val="22"/>
          <w:szCs w:val="22"/>
        </w:rPr>
        <w:t xml:space="preserve">the </w:t>
      </w:r>
      <w:r w:rsidR="00630852" w:rsidRPr="00327F3F">
        <w:rPr>
          <w:rFonts w:ascii="Arial" w:hAnsi="Arial" w:cs="Arial"/>
          <w:sz w:val="22"/>
          <w:szCs w:val="22"/>
        </w:rPr>
        <w:t xml:space="preserve">take-home exam, </w:t>
      </w:r>
      <w:r w:rsidRPr="00327F3F">
        <w:rPr>
          <w:rFonts w:ascii="Arial" w:hAnsi="Arial" w:cs="Arial"/>
          <w:sz w:val="22"/>
          <w:szCs w:val="22"/>
        </w:rPr>
        <w:t xml:space="preserve">it is particularly important that the </w:t>
      </w:r>
      <w:r w:rsidR="00630852" w:rsidRPr="00327F3F">
        <w:rPr>
          <w:rFonts w:ascii="Arial" w:hAnsi="Arial" w:cs="Arial"/>
          <w:sz w:val="22"/>
          <w:szCs w:val="22"/>
        </w:rPr>
        <w:t xml:space="preserve">responses </w:t>
      </w:r>
      <w:r w:rsidRPr="00327F3F">
        <w:rPr>
          <w:rFonts w:ascii="Arial" w:hAnsi="Arial" w:cs="Arial"/>
          <w:sz w:val="22"/>
          <w:szCs w:val="22"/>
        </w:rPr>
        <w:t xml:space="preserve">show that the student has engaged with the reading on the curriculum and has a firm </w:t>
      </w:r>
      <w:r w:rsidR="00630852" w:rsidRPr="00327F3F">
        <w:rPr>
          <w:rFonts w:ascii="Arial" w:hAnsi="Arial" w:cs="Arial"/>
          <w:sz w:val="22"/>
          <w:szCs w:val="22"/>
        </w:rPr>
        <w:t xml:space="preserve">grasp and </w:t>
      </w:r>
      <w:r w:rsidRPr="00327F3F">
        <w:rPr>
          <w:rFonts w:ascii="Arial" w:hAnsi="Arial" w:cs="Arial"/>
          <w:sz w:val="22"/>
          <w:szCs w:val="22"/>
        </w:rPr>
        <w:t xml:space="preserve">vivid understanding of the theories, objects, practices, cultures and politics of </w:t>
      </w:r>
      <w:r w:rsidR="00327F3F" w:rsidRPr="00327F3F">
        <w:rPr>
          <w:rFonts w:ascii="Arial" w:hAnsi="Arial" w:cs="Arial"/>
          <w:sz w:val="22"/>
          <w:szCs w:val="22"/>
        </w:rPr>
        <w:t xml:space="preserve">various </w:t>
      </w:r>
      <w:r w:rsidRPr="00327F3F">
        <w:rPr>
          <w:rFonts w:ascii="Arial" w:hAnsi="Arial" w:cs="Arial"/>
          <w:sz w:val="22"/>
          <w:szCs w:val="22"/>
        </w:rPr>
        <w:t xml:space="preserve">historical </w:t>
      </w:r>
      <w:r w:rsidR="00327F3F" w:rsidRPr="00327F3F">
        <w:rPr>
          <w:rFonts w:ascii="Arial" w:hAnsi="Arial" w:cs="Arial"/>
          <w:sz w:val="22"/>
          <w:szCs w:val="22"/>
        </w:rPr>
        <w:t xml:space="preserve">periods and their </w:t>
      </w:r>
      <w:r w:rsidRPr="00327F3F">
        <w:rPr>
          <w:rFonts w:ascii="Arial" w:hAnsi="Arial" w:cs="Arial"/>
          <w:sz w:val="22"/>
          <w:szCs w:val="22"/>
        </w:rPr>
        <w:t xml:space="preserve">screen technologies. The </w:t>
      </w:r>
      <w:r w:rsidR="00606FCC">
        <w:rPr>
          <w:rFonts w:ascii="Arial" w:hAnsi="Arial" w:cs="Arial"/>
          <w:sz w:val="22"/>
          <w:szCs w:val="22"/>
        </w:rPr>
        <w:t xml:space="preserve">exam consists of a choice between two essay questions each of which requires </w:t>
      </w:r>
      <w:r w:rsidR="00630852" w:rsidRPr="00327F3F">
        <w:rPr>
          <w:rFonts w:ascii="Arial" w:hAnsi="Arial" w:cs="Arial"/>
          <w:sz w:val="22"/>
          <w:szCs w:val="22"/>
        </w:rPr>
        <w:t>students</w:t>
      </w:r>
      <w:r w:rsidRPr="00327F3F">
        <w:rPr>
          <w:rFonts w:ascii="Arial" w:hAnsi="Arial" w:cs="Arial"/>
          <w:sz w:val="22"/>
          <w:szCs w:val="22"/>
        </w:rPr>
        <w:t xml:space="preserve"> articulate such understanding through</w:t>
      </w:r>
      <w:r w:rsidR="00606FCC">
        <w:rPr>
          <w:rFonts w:ascii="Arial" w:hAnsi="Arial" w:cs="Arial"/>
          <w:sz w:val="22"/>
          <w:szCs w:val="22"/>
        </w:rPr>
        <w:t xml:space="preserve"> argumentation, examples, and use of scholarship on the curriculum.</w:t>
      </w:r>
      <w:r w:rsidR="00630852" w:rsidRPr="00327F3F">
        <w:rPr>
          <w:rFonts w:ascii="Arial" w:hAnsi="Arial" w:cs="Arial"/>
          <w:sz w:val="22"/>
          <w:szCs w:val="22"/>
        </w:rPr>
        <w:t xml:space="preserve"> </w:t>
      </w:r>
      <w:r w:rsidR="00606FCC" w:rsidRPr="00606FCC">
        <w:rPr>
          <w:rFonts w:ascii="Arial" w:hAnsi="Arial" w:cs="Arial"/>
          <w:sz w:val="22"/>
          <w:szCs w:val="22"/>
        </w:rPr>
        <w:t>Additional sources were permitted but not at the expense of our course readings and would not in and of themselves be regarded as beneficial to the grade.</w:t>
      </w:r>
      <w:r w:rsidR="00606FCC">
        <w:rPr>
          <w:rFonts w:ascii="Arial" w:hAnsi="Arial" w:cs="Arial"/>
          <w:sz w:val="22"/>
          <w:szCs w:val="22"/>
        </w:rPr>
        <w:t xml:space="preserve"> The essays are graded on a scale from A-F in accordance with IMK’s standards published online, adjusted to reflect the limited time for task completion and exam conditions, i.e. no use of AI </w:t>
      </w:r>
      <w:r w:rsidR="00B326C0">
        <w:rPr>
          <w:rFonts w:ascii="Arial" w:hAnsi="Arial" w:cs="Arial"/>
          <w:sz w:val="22"/>
          <w:szCs w:val="22"/>
        </w:rPr>
        <w:t xml:space="preserve">including </w:t>
      </w:r>
      <w:r w:rsidR="00606FCC">
        <w:rPr>
          <w:rFonts w:ascii="Arial" w:hAnsi="Arial" w:cs="Arial"/>
          <w:sz w:val="22"/>
          <w:szCs w:val="22"/>
        </w:rPr>
        <w:t>for language correction. Essays need to be well structured overall, but there is some leniency for precision in this regard. Exams are written in English.</w:t>
      </w:r>
    </w:p>
    <w:p w14:paraId="5DF77895" w14:textId="23091BD9" w:rsidR="006F6AF7" w:rsidRPr="00327F3F" w:rsidRDefault="006F6AF7" w:rsidP="006F6AF7">
      <w:pPr>
        <w:shd w:val="clear" w:color="auto" w:fill="FFFFFF"/>
        <w:ind w:left="720" w:hanging="360"/>
        <w:rPr>
          <w:rFonts w:ascii="Arial" w:hAnsi="Arial" w:cs="Arial"/>
          <w:sz w:val="22"/>
          <w:szCs w:val="22"/>
        </w:rPr>
      </w:pPr>
    </w:p>
    <w:p w14:paraId="2F7E13AC" w14:textId="40DDFE71" w:rsidR="00630852" w:rsidRPr="00327F3F" w:rsidRDefault="00630852" w:rsidP="006F6AF7">
      <w:pPr>
        <w:shd w:val="clear" w:color="auto" w:fill="FFFFFF"/>
        <w:ind w:left="720" w:hanging="360"/>
        <w:rPr>
          <w:rFonts w:ascii="Arial" w:hAnsi="Arial" w:cs="Arial"/>
          <w:sz w:val="22"/>
          <w:szCs w:val="22"/>
        </w:rPr>
      </w:pPr>
      <w:r w:rsidRPr="00327F3F">
        <w:rPr>
          <w:rFonts w:ascii="Arial" w:hAnsi="Arial" w:cs="Arial"/>
          <w:sz w:val="22"/>
          <w:szCs w:val="22"/>
        </w:rPr>
        <w:t>Beyond the documentation of the</w:t>
      </w:r>
      <w:r w:rsidR="00327F3F" w:rsidRPr="00327F3F">
        <w:rPr>
          <w:rFonts w:ascii="Arial" w:hAnsi="Arial" w:cs="Arial"/>
          <w:sz w:val="22"/>
          <w:szCs w:val="22"/>
        </w:rPr>
        <w:t>se</w:t>
      </w:r>
      <w:r w:rsidRPr="00327F3F">
        <w:rPr>
          <w:rFonts w:ascii="Arial" w:hAnsi="Arial" w:cs="Arial"/>
          <w:sz w:val="22"/>
          <w:szCs w:val="22"/>
        </w:rPr>
        <w:t xml:space="preserve"> above skills and </w:t>
      </w:r>
      <w:r w:rsidR="00327F3F" w:rsidRPr="00327F3F">
        <w:rPr>
          <w:rFonts w:ascii="Arial" w:hAnsi="Arial" w:cs="Arial"/>
          <w:sz w:val="22"/>
          <w:szCs w:val="22"/>
        </w:rPr>
        <w:t>resources</w:t>
      </w:r>
      <w:r w:rsidRPr="00327F3F">
        <w:rPr>
          <w:rFonts w:ascii="Arial" w:hAnsi="Arial" w:cs="Arial"/>
          <w:sz w:val="22"/>
          <w:szCs w:val="22"/>
        </w:rPr>
        <w:t xml:space="preserve">, the following aspects </w:t>
      </w:r>
      <w:r w:rsidR="00327F3F" w:rsidRPr="00327F3F">
        <w:rPr>
          <w:rFonts w:ascii="Arial" w:hAnsi="Arial" w:cs="Arial"/>
          <w:sz w:val="22"/>
          <w:szCs w:val="22"/>
        </w:rPr>
        <w:t>weigh in on the grading</w:t>
      </w:r>
      <w:r w:rsidRPr="00327F3F">
        <w:rPr>
          <w:rFonts w:ascii="Arial" w:hAnsi="Arial" w:cs="Arial"/>
          <w:sz w:val="22"/>
          <w:szCs w:val="22"/>
        </w:rPr>
        <w:t xml:space="preserve">: </w:t>
      </w:r>
    </w:p>
    <w:p w14:paraId="52489CB8" w14:textId="77777777" w:rsidR="006F6AF7" w:rsidRPr="00327F3F" w:rsidRDefault="006F6AF7" w:rsidP="006F6AF7">
      <w:pPr>
        <w:shd w:val="clear" w:color="auto" w:fill="FFFFFF"/>
        <w:ind w:left="720" w:hanging="360"/>
        <w:rPr>
          <w:rFonts w:ascii="Arial" w:hAnsi="Arial" w:cs="Arial"/>
          <w:sz w:val="22"/>
          <w:szCs w:val="22"/>
        </w:rPr>
      </w:pPr>
    </w:p>
    <w:p w14:paraId="5A1B4CF2" w14:textId="0CB53197" w:rsidR="006F6AF7" w:rsidRPr="00327F3F" w:rsidRDefault="006F6AF7" w:rsidP="00606FCC">
      <w:pPr>
        <w:pStyle w:val="ColorfulList-Accent11"/>
        <w:shd w:val="clear" w:color="auto" w:fill="FFFFFF"/>
        <w:spacing w:after="0"/>
        <w:rPr>
          <w:rFonts w:ascii="Arial" w:eastAsia="Arial Unicode MS" w:hAnsi="Arial" w:cs="Arial"/>
          <w:i/>
          <w:color w:val="000000" w:themeColor="text1"/>
          <w:lang w:val="en-GB"/>
        </w:rPr>
      </w:pPr>
    </w:p>
    <w:p w14:paraId="7E0265DE" w14:textId="552A6F97" w:rsidR="00606FCC" w:rsidRDefault="006F6AF7" w:rsidP="00606FCC">
      <w:pPr>
        <w:pStyle w:val="ColorfulList-Accent11"/>
        <w:numPr>
          <w:ilvl w:val="0"/>
          <w:numId w:val="2"/>
        </w:numPr>
        <w:shd w:val="clear" w:color="auto" w:fill="FFFFFF"/>
        <w:rPr>
          <w:rFonts w:ascii="Arial" w:eastAsia="Arial Unicode MS" w:hAnsi="Arial" w:cs="Arial"/>
          <w:color w:val="000000" w:themeColor="text1"/>
        </w:rPr>
      </w:pPr>
      <w:r w:rsidRPr="00327F3F">
        <w:rPr>
          <w:rFonts w:ascii="Arial" w:eastAsia="Arial Unicode MS" w:hAnsi="Arial" w:cs="Arial"/>
          <w:color w:val="000000" w:themeColor="text1"/>
          <w:lang w:val="en-GB"/>
        </w:rPr>
        <w:t xml:space="preserve">clarity and focus of </w:t>
      </w:r>
      <w:r w:rsidR="00124C28">
        <w:rPr>
          <w:rFonts w:ascii="Arial" w:eastAsia="Arial Unicode MS" w:hAnsi="Arial" w:cs="Arial"/>
          <w:color w:val="000000" w:themeColor="text1"/>
          <w:lang w:val="en-GB"/>
        </w:rPr>
        <w:t>argument</w:t>
      </w:r>
      <w:r w:rsidR="00606FCC">
        <w:rPr>
          <w:rFonts w:ascii="Arial" w:eastAsia="Arial Unicode MS" w:hAnsi="Arial" w:cs="Arial"/>
          <w:color w:val="000000" w:themeColor="text1"/>
          <w:lang w:val="en-GB"/>
        </w:rPr>
        <w:t xml:space="preserve">, including </w:t>
      </w:r>
      <w:r w:rsidR="00606FCC" w:rsidRPr="00606FCC">
        <w:rPr>
          <w:rFonts w:ascii="Arial" w:eastAsia="Arial Unicode MS" w:hAnsi="Arial" w:cs="Arial"/>
          <w:color w:val="000000" w:themeColor="text1"/>
        </w:rPr>
        <w:t>a thesis statement and sustained justification</w:t>
      </w:r>
    </w:p>
    <w:p w14:paraId="0BD7BAE7" w14:textId="0F4C1E5C" w:rsidR="00606FCC" w:rsidRPr="00606FCC" w:rsidRDefault="00606FCC" w:rsidP="00606FCC">
      <w:pPr>
        <w:pStyle w:val="ColorfulList-Accent11"/>
        <w:numPr>
          <w:ilvl w:val="0"/>
          <w:numId w:val="2"/>
        </w:numPr>
        <w:shd w:val="clear" w:color="auto" w:fill="FFFFFF"/>
        <w:rPr>
          <w:rFonts w:ascii="Arial" w:eastAsia="Arial Unicode MS" w:hAnsi="Arial" w:cs="Arial"/>
          <w:color w:val="000000" w:themeColor="text1"/>
        </w:rPr>
      </w:pPr>
      <w:r>
        <w:rPr>
          <w:rFonts w:ascii="Arial" w:eastAsia="Arial Unicode MS" w:hAnsi="Arial" w:cs="Arial"/>
          <w:color w:val="000000" w:themeColor="text1"/>
        </w:rPr>
        <w:t xml:space="preserve">correct page count (10 pages, excluding references and images) </w:t>
      </w:r>
    </w:p>
    <w:p w14:paraId="6277E029" w14:textId="5457F694" w:rsidR="006F6AF7" w:rsidRDefault="006F6AF7" w:rsidP="006C7692">
      <w:pPr>
        <w:pStyle w:val="ColorfulList-Accent11"/>
        <w:numPr>
          <w:ilvl w:val="0"/>
          <w:numId w:val="2"/>
        </w:numPr>
        <w:shd w:val="clear" w:color="auto" w:fill="FFFFFF"/>
        <w:spacing w:after="0"/>
        <w:rPr>
          <w:rFonts w:ascii="Arial" w:eastAsia="Arial Unicode MS" w:hAnsi="Arial" w:cs="Arial"/>
          <w:color w:val="000000" w:themeColor="text1"/>
          <w:lang w:val="en-GB"/>
        </w:rPr>
      </w:pPr>
      <w:r w:rsidRPr="00327F3F">
        <w:rPr>
          <w:rFonts w:ascii="Arial" w:eastAsia="Arial Unicode MS" w:hAnsi="Arial" w:cs="Arial"/>
          <w:color w:val="000000" w:themeColor="text1"/>
          <w:lang w:val="en-GB"/>
        </w:rPr>
        <w:t>integration of theory and analysis</w:t>
      </w:r>
    </w:p>
    <w:p w14:paraId="3FAA08FB" w14:textId="4D418D2D" w:rsidR="00606FCC" w:rsidRDefault="00606FCC" w:rsidP="006C7692">
      <w:pPr>
        <w:pStyle w:val="ColorfulList-Accent11"/>
        <w:numPr>
          <w:ilvl w:val="0"/>
          <w:numId w:val="2"/>
        </w:numPr>
        <w:shd w:val="clear" w:color="auto" w:fill="FFFFFF"/>
        <w:spacing w:after="0"/>
        <w:rPr>
          <w:rFonts w:ascii="Arial" w:eastAsia="Arial Unicode MS" w:hAnsi="Arial" w:cs="Arial"/>
          <w:color w:val="000000" w:themeColor="text1"/>
          <w:lang w:val="en-GB"/>
        </w:rPr>
      </w:pPr>
      <w:r>
        <w:rPr>
          <w:rFonts w:ascii="Arial" w:eastAsia="Arial Unicode MS" w:hAnsi="Arial" w:cs="Arial"/>
          <w:color w:val="000000" w:themeColor="text1"/>
          <w:lang w:val="en-GB"/>
        </w:rPr>
        <w:t>depth of engagement with scholarship</w:t>
      </w:r>
      <w:r w:rsidR="007A788E">
        <w:rPr>
          <w:rFonts w:ascii="Arial" w:eastAsia="Arial Unicode MS" w:hAnsi="Arial" w:cs="Arial"/>
          <w:color w:val="000000" w:themeColor="text1"/>
          <w:lang w:val="en-GB"/>
        </w:rPr>
        <w:t xml:space="preserve"> from the course</w:t>
      </w:r>
    </w:p>
    <w:p w14:paraId="4855264E" w14:textId="245EF807" w:rsidR="00606FCC" w:rsidRPr="00327F3F" w:rsidRDefault="00606FCC" w:rsidP="006C7692">
      <w:pPr>
        <w:pStyle w:val="ColorfulList-Accent11"/>
        <w:numPr>
          <w:ilvl w:val="0"/>
          <w:numId w:val="2"/>
        </w:numPr>
        <w:shd w:val="clear" w:color="auto" w:fill="FFFFFF"/>
        <w:spacing w:after="0"/>
        <w:rPr>
          <w:rFonts w:ascii="Arial" w:eastAsia="Arial Unicode MS" w:hAnsi="Arial" w:cs="Arial"/>
          <w:color w:val="000000" w:themeColor="text1"/>
          <w:lang w:val="en-GB"/>
        </w:rPr>
      </w:pPr>
      <w:r>
        <w:rPr>
          <w:rFonts w:ascii="Arial" w:eastAsia="Arial Unicode MS" w:hAnsi="Arial" w:cs="Arial"/>
          <w:color w:val="000000" w:themeColor="text1"/>
          <w:lang w:val="en-GB"/>
        </w:rPr>
        <w:t xml:space="preserve">independent reflection on core course concepts </w:t>
      </w:r>
    </w:p>
    <w:p w14:paraId="2BDF72AB" w14:textId="77777777" w:rsidR="006F6AF7" w:rsidRPr="00327F3F" w:rsidRDefault="006F6AF7" w:rsidP="006C7692">
      <w:pPr>
        <w:pStyle w:val="ColorfulList-Accent11"/>
        <w:numPr>
          <w:ilvl w:val="0"/>
          <w:numId w:val="2"/>
        </w:numPr>
        <w:shd w:val="clear" w:color="auto" w:fill="FFFFFF"/>
        <w:spacing w:after="0"/>
        <w:rPr>
          <w:rFonts w:ascii="Arial" w:eastAsia="Arial Unicode MS" w:hAnsi="Arial" w:cs="Arial"/>
          <w:color w:val="000000" w:themeColor="text1"/>
          <w:lang w:val="en-GB"/>
        </w:rPr>
      </w:pPr>
      <w:r w:rsidRPr="00327F3F">
        <w:rPr>
          <w:rFonts w:ascii="Arial" w:eastAsia="Arial Unicode MS" w:hAnsi="Arial" w:cs="Arial"/>
          <w:color w:val="000000" w:themeColor="text1"/>
          <w:lang w:val="en-GB"/>
        </w:rPr>
        <w:t>integration of observation and argumentation</w:t>
      </w:r>
    </w:p>
    <w:p w14:paraId="425F9D86" w14:textId="0CFF5702" w:rsidR="00B326C0" w:rsidRPr="00327F3F" w:rsidRDefault="006F6AF7" w:rsidP="006C7692">
      <w:pPr>
        <w:pStyle w:val="ColorfulList-Accent11"/>
        <w:numPr>
          <w:ilvl w:val="0"/>
          <w:numId w:val="2"/>
        </w:numPr>
        <w:spacing w:after="0"/>
        <w:rPr>
          <w:rFonts w:ascii="Arial" w:eastAsia="Arial Unicode MS" w:hAnsi="Arial" w:cs="Arial"/>
          <w:color w:val="000000" w:themeColor="text1"/>
          <w:lang w:val="en-GB"/>
        </w:rPr>
      </w:pPr>
      <w:r w:rsidRPr="00327F3F">
        <w:rPr>
          <w:rFonts w:ascii="Arial" w:eastAsia="Arial Unicode MS" w:hAnsi="Arial" w:cs="Arial"/>
          <w:color w:val="000000" w:themeColor="text1"/>
          <w:lang w:val="en-GB"/>
        </w:rPr>
        <w:t>correct</w:t>
      </w:r>
      <w:r w:rsidR="00606FCC">
        <w:rPr>
          <w:rFonts w:ascii="Arial" w:eastAsia="Arial Unicode MS" w:hAnsi="Arial" w:cs="Arial"/>
          <w:color w:val="000000" w:themeColor="text1"/>
          <w:lang w:val="en-GB"/>
        </w:rPr>
        <w:t xml:space="preserve"> use of a</w:t>
      </w:r>
      <w:r w:rsidRPr="00327F3F">
        <w:rPr>
          <w:rFonts w:ascii="Arial" w:eastAsia="Arial Unicode MS" w:hAnsi="Arial" w:cs="Arial"/>
          <w:color w:val="000000" w:themeColor="text1"/>
          <w:lang w:val="en-GB"/>
        </w:rPr>
        <w:t xml:space="preserve"> referencing system and bibliography</w:t>
      </w:r>
    </w:p>
    <w:sectPr w:rsidR="00B326C0" w:rsidRPr="00327F3F" w:rsidSect="00280E3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44544F"/>
    <w:multiLevelType w:val="hybridMultilevel"/>
    <w:tmpl w:val="63B0D6B6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F3320B1"/>
    <w:multiLevelType w:val="hybridMultilevel"/>
    <w:tmpl w:val="A82AE6DC"/>
    <w:lvl w:ilvl="0" w:tplc="1C0A0636">
      <w:start w:val="200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7096381">
    <w:abstractNumId w:val="1"/>
  </w:num>
  <w:num w:numId="2" w16cid:durableId="995189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AF7"/>
    <w:rsid w:val="000A379B"/>
    <w:rsid w:val="000D6191"/>
    <w:rsid w:val="00124C28"/>
    <w:rsid w:val="00211C6F"/>
    <w:rsid w:val="002209B7"/>
    <w:rsid w:val="00280E35"/>
    <w:rsid w:val="002B435A"/>
    <w:rsid w:val="002D1505"/>
    <w:rsid w:val="002E1F0A"/>
    <w:rsid w:val="003069B6"/>
    <w:rsid w:val="00327F3F"/>
    <w:rsid w:val="003805CD"/>
    <w:rsid w:val="003F3587"/>
    <w:rsid w:val="003F3EC5"/>
    <w:rsid w:val="00421DBE"/>
    <w:rsid w:val="004532E9"/>
    <w:rsid w:val="00494BA7"/>
    <w:rsid w:val="004F3C3D"/>
    <w:rsid w:val="00532804"/>
    <w:rsid w:val="005E2F97"/>
    <w:rsid w:val="005E7413"/>
    <w:rsid w:val="00606FCC"/>
    <w:rsid w:val="00630033"/>
    <w:rsid w:val="00630852"/>
    <w:rsid w:val="00635607"/>
    <w:rsid w:val="006712B1"/>
    <w:rsid w:val="006C7692"/>
    <w:rsid w:val="006D73A7"/>
    <w:rsid w:val="006F6AF7"/>
    <w:rsid w:val="00756464"/>
    <w:rsid w:val="007639F4"/>
    <w:rsid w:val="00763E51"/>
    <w:rsid w:val="00770EFE"/>
    <w:rsid w:val="007A788E"/>
    <w:rsid w:val="0083561B"/>
    <w:rsid w:val="00893AF0"/>
    <w:rsid w:val="00A3562D"/>
    <w:rsid w:val="00A74538"/>
    <w:rsid w:val="00A767EA"/>
    <w:rsid w:val="00AD699D"/>
    <w:rsid w:val="00B105D0"/>
    <w:rsid w:val="00B326C0"/>
    <w:rsid w:val="00B92D1E"/>
    <w:rsid w:val="00BE20A0"/>
    <w:rsid w:val="00C157C8"/>
    <w:rsid w:val="00C3108C"/>
    <w:rsid w:val="00C81797"/>
    <w:rsid w:val="00D0323B"/>
    <w:rsid w:val="00D67067"/>
    <w:rsid w:val="00DD76D7"/>
    <w:rsid w:val="00EA13FB"/>
    <w:rsid w:val="00F57C48"/>
    <w:rsid w:val="00F6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C3ABB"/>
  <w15:chartTrackingRefBased/>
  <w15:docId w15:val="{3EB4A1C9-1D61-C74C-8B6A-D13FB0830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769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6F6AF7"/>
    <w:pPr>
      <w:spacing w:after="200" w:line="276" w:lineRule="auto"/>
      <w:ind w:left="720"/>
      <w:contextualSpacing/>
    </w:pPr>
    <w:rPr>
      <w:rFonts w:ascii="Cambria" w:eastAsia="MS Mincho" w:hAnsi="Cambria" w:cs="Times New Roman"/>
      <w:sz w:val="22"/>
      <w:szCs w:val="22"/>
      <w:lang w:val="en-US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6C769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29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1387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Hanna Lunaas</cp:lastModifiedBy>
  <cp:revision>2</cp:revision>
  <dcterms:created xsi:type="dcterms:W3CDTF">2026-01-29T09:33:00Z</dcterms:created>
  <dcterms:modified xsi:type="dcterms:W3CDTF">2026-01-29T09:33:00Z</dcterms:modified>
</cp:coreProperties>
</file>