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2D35" w:rsidRPr="00BB6B19" w:rsidRDefault="00BB6B19">
      <w:pPr>
        <w:rPr>
          <w:b/>
        </w:rPr>
      </w:pPr>
      <w:r w:rsidRPr="00BB6B19">
        <w:rPr>
          <w:b/>
        </w:rPr>
        <w:t xml:space="preserve">Ordinær eksamen SOS2200, vår 2018 </w:t>
      </w:r>
    </w:p>
    <w:p w:rsidR="00BB6B19" w:rsidRDefault="00BB6B19">
      <w:r>
        <w:t xml:space="preserve">Du skal besvare både oppgave 1 og oppgave 2. I oppgave 2 besvarer du enten oppgave 2A, eller 2B. Oppgave 1 teller 1/3 og oppgave 2 teller 2/3 av den endelige karakteren. NB! En sensor skal lese kopien av besvarelsen også. Skriv slik at den blir leselig. </w:t>
      </w:r>
    </w:p>
    <w:p w:rsidR="00BB6B19" w:rsidRDefault="00BB6B19"/>
    <w:p w:rsidR="00BB6B19" w:rsidRPr="00BB6B19" w:rsidRDefault="00BB6B19">
      <w:pPr>
        <w:rPr>
          <w:b/>
        </w:rPr>
      </w:pPr>
      <w:r w:rsidRPr="00BB6B19">
        <w:rPr>
          <w:b/>
        </w:rPr>
        <w:t xml:space="preserve">OPPGAVE 1 Redegjør kort for tre av de fire følgende temaene: </w:t>
      </w:r>
    </w:p>
    <w:p w:rsidR="00B73D63" w:rsidRDefault="00BB6B19" w:rsidP="00B73D63">
      <w:pPr>
        <w:rPr>
          <w:sz w:val="20"/>
          <w:szCs w:val="20"/>
        </w:rPr>
      </w:pPr>
      <w:r>
        <w:t xml:space="preserve">1. </w:t>
      </w:r>
      <w:r w:rsidR="00B73D63">
        <w:rPr>
          <w:b/>
          <w:sz w:val="20"/>
          <w:szCs w:val="20"/>
        </w:rPr>
        <w:t>Likelønn</w:t>
      </w:r>
      <w:r w:rsidR="00B73D63">
        <w:rPr>
          <w:sz w:val="20"/>
          <w:szCs w:val="20"/>
        </w:rPr>
        <w:t xml:space="preserve"> (her er det primært Fennefoss artikkel som er sentral)</w:t>
      </w:r>
    </w:p>
    <w:p w:rsidR="00BB6B19" w:rsidRPr="007156A2" w:rsidRDefault="00BB6B19">
      <w:r>
        <w:t xml:space="preserve">2. </w:t>
      </w:r>
      <w:r w:rsidR="00E70CCE" w:rsidRPr="007156A2">
        <w:rPr>
          <w:b/>
        </w:rPr>
        <w:t>Medvirkning</w:t>
      </w:r>
      <w:r w:rsidR="007156A2">
        <w:rPr>
          <w:b/>
        </w:rPr>
        <w:t xml:space="preserve"> </w:t>
      </w:r>
      <w:r w:rsidR="007156A2">
        <w:t xml:space="preserve">Primært Levin et al, og spesielt fra del 2 av boken. Begrepsdefinisjon og gjennomgang av ulike former for medvirkning og tilknytning til demokrati og makt vil være sentralt i en god besvarelse. </w:t>
      </w:r>
    </w:p>
    <w:p w:rsidR="00BB6B19" w:rsidRDefault="00BB6B19">
      <w:r>
        <w:t xml:space="preserve">3. </w:t>
      </w:r>
      <w:r w:rsidR="00B73D63">
        <w:rPr>
          <w:b/>
          <w:sz w:val="20"/>
          <w:szCs w:val="20"/>
        </w:rPr>
        <w:t>Byråkrati</w:t>
      </w:r>
      <w:r w:rsidR="00B73D63">
        <w:rPr>
          <w:sz w:val="20"/>
          <w:szCs w:val="20"/>
        </w:rPr>
        <w:t xml:space="preserve"> (Weber, Mintzberg, Jacobsen og thorsvik) Den weberianske definisjonen er kjernen, men en styrke om de også nevner Mintzbergs modifikasjon i m</w:t>
      </w:r>
      <w:r w:rsidR="00B73D63">
        <w:rPr>
          <w:sz w:val="20"/>
          <w:szCs w:val="20"/>
        </w:rPr>
        <w:t>askin og profesjonsbyråkratiet)</w:t>
      </w:r>
    </w:p>
    <w:p w:rsidR="00BB6B19" w:rsidRPr="007156A2" w:rsidRDefault="00BB6B19">
      <w:r>
        <w:t xml:space="preserve">4. </w:t>
      </w:r>
      <w:r w:rsidR="00E70CCE" w:rsidRPr="007156A2">
        <w:rPr>
          <w:b/>
        </w:rPr>
        <w:t>Hva betyr det at arbeidstiden er en sosial institusjon?</w:t>
      </w:r>
      <w:r w:rsidR="007156A2">
        <w:rPr>
          <w:b/>
        </w:rPr>
        <w:t xml:space="preserve"> </w:t>
      </w:r>
      <w:r w:rsidR="007156A2">
        <w:t>Ellingsæther er den primære kilden. Styrke om kandidaten viser at hun/han behersker institusjonsbegrepet som sådan, spes med henvisning til Scott på pensum.</w:t>
      </w:r>
    </w:p>
    <w:p w:rsidR="00BB6B19" w:rsidRDefault="00BB6B19"/>
    <w:p w:rsidR="00BB6B19" w:rsidRPr="00BB6B19" w:rsidRDefault="00BB6B19">
      <w:pPr>
        <w:rPr>
          <w:b/>
        </w:rPr>
      </w:pPr>
      <w:r w:rsidRPr="00BB6B19">
        <w:rPr>
          <w:b/>
        </w:rPr>
        <w:t xml:space="preserve">OPPGAVE 2 Besvar ÉN av følgende langsvarsoppgaver: </w:t>
      </w:r>
    </w:p>
    <w:p w:rsidR="006231DD" w:rsidRPr="000C6943" w:rsidRDefault="00BB6B19" w:rsidP="006231DD">
      <w:pPr>
        <w:rPr>
          <w:b/>
        </w:rPr>
      </w:pPr>
      <w:r w:rsidRPr="000C6943">
        <w:rPr>
          <w:b/>
        </w:rPr>
        <w:t xml:space="preserve">ENTEN 2A: </w:t>
      </w:r>
      <w:r w:rsidR="006231DD" w:rsidRPr="000C6943">
        <w:rPr>
          <w:b/>
        </w:rPr>
        <w:t xml:space="preserve">Redegjør for Arbeiderkollektivet slik Lysgaard beskriver det. Legg spesielt vekt på forutsetningene som må være til stede for at arbeiderkollektivet skal </w:t>
      </w:r>
      <w:r w:rsidR="000C6943">
        <w:rPr>
          <w:b/>
        </w:rPr>
        <w:t>utvikles</w:t>
      </w:r>
      <w:r w:rsidR="006231DD" w:rsidRPr="000C6943">
        <w:rPr>
          <w:b/>
        </w:rPr>
        <w:t xml:space="preserve"> og opprettholdes. Drøft i hvilken grad disse forutsetningene er tilstede i dagens (såkalte postindustrielle) arbeidsliv. </w:t>
      </w:r>
    </w:p>
    <w:p w:rsidR="00BB6B19" w:rsidRDefault="000C6943" w:rsidP="000C6943">
      <w:r>
        <w:rPr>
          <w:sz w:val="23"/>
          <w:szCs w:val="23"/>
        </w:rPr>
        <w:t xml:space="preserve">Hovedreferansen for første del er kap. 2, 3, 4 og 5 i </w:t>
      </w:r>
      <w:r>
        <w:rPr>
          <w:i/>
          <w:iCs/>
          <w:sz w:val="23"/>
          <w:szCs w:val="23"/>
        </w:rPr>
        <w:t>Arbeiderkollektivet</w:t>
      </w:r>
      <w:r>
        <w:rPr>
          <w:sz w:val="23"/>
          <w:szCs w:val="23"/>
        </w:rPr>
        <w:t>. Andre del av oppgaven åpner for kreativitet og kombineringsevne hos flinke studenter, inklusive det å se at opp</w:t>
      </w:r>
      <w:r>
        <w:rPr>
          <w:sz w:val="23"/>
          <w:szCs w:val="23"/>
        </w:rPr>
        <w:t>g</w:t>
      </w:r>
      <w:r>
        <w:rPr>
          <w:sz w:val="23"/>
          <w:szCs w:val="23"/>
        </w:rPr>
        <w:t xml:space="preserve">aven (her som ellers) kan tolkes på flere rimelige måter. </w:t>
      </w:r>
      <w:r>
        <w:rPr>
          <w:sz w:val="23"/>
          <w:szCs w:val="23"/>
        </w:rPr>
        <w:t>Drøftingsdelen åpner opp for å trekke inn utviklingstrekk i det nye (postindustrielle) arbeidslivet og drøfte i hvilken grad disse er med på å underbygge eller undergrave både behovet for og grunnlaget for (hvilket ikke behøver å overlappe) arbeiderkollektivet. (Eks Ellingsæther; Levin et al. )</w:t>
      </w:r>
      <w:bookmarkStart w:id="0" w:name="_GoBack"/>
      <w:bookmarkEnd w:id="0"/>
    </w:p>
    <w:p w:rsidR="00E45173" w:rsidRDefault="00E45173"/>
    <w:p w:rsidR="006231DD" w:rsidRPr="00E45173" w:rsidRDefault="006231DD" w:rsidP="006231DD">
      <w:pPr>
        <w:rPr>
          <w:b/>
          <w:sz w:val="20"/>
          <w:szCs w:val="20"/>
        </w:rPr>
      </w:pPr>
      <w:r w:rsidRPr="00E45173">
        <w:rPr>
          <w:b/>
        </w:rPr>
        <w:t xml:space="preserve">ELLER 2B: </w:t>
      </w:r>
      <w:r w:rsidRPr="00E45173">
        <w:rPr>
          <w:b/>
          <w:sz w:val="20"/>
          <w:szCs w:val="20"/>
        </w:rPr>
        <w:t>Redegjør for begrepet organisasjonskultur, slik det er fremstilt i pensum.</w:t>
      </w:r>
      <w:r w:rsidRPr="00E45173">
        <w:rPr>
          <w:b/>
          <w:sz w:val="20"/>
          <w:szCs w:val="20"/>
        </w:rPr>
        <w:t xml:space="preserve"> </w:t>
      </w:r>
      <w:r w:rsidRPr="00E45173">
        <w:rPr>
          <w:b/>
          <w:sz w:val="20"/>
          <w:szCs w:val="20"/>
        </w:rPr>
        <w:t xml:space="preserve">Drøft utfordringer og muligheter ved å endre organisasjonskulturer. Bruk eksempler. </w:t>
      </w:r>
    </w:p>
    <w:p w:rsidR="002756A1" w:rsidRDefault="002756A1"/>
    <w:p w:rsidR="00E45173" w:rsidRDefault="00E45173" w:rsidP="00E45173">
      <w:pPr>
        <w:rPr>
          <w:sz w:val="20"/>
          <w:szCs w:val="20"/>
        </w:rPr>
      </w:pPr>
      <w:r>
        <w:rPr>
          <w:sz w:val="20"/>
          <w:szCs w:val="20"/>
        </w:rPr>
        <w:t xml:space="preserve">Dette er mer plankeoppgave. Hovedsakelig basert på jacbsen og thorsviks kapittel om organisasjonskultur, med det er også relevant å knytte an til kapitlene om endring og om organisasjonslæring. Første ledd handler om å redegjøre for basis definisjoner, sentralt står Scheins fire elementer i organisajsonskulturer, grunnleggende antakelser, normer og verdier og artefakter. For å få full uttelling på det første leddet bør studentene anskueliggjøre og eksemplifisere de ulike elementene. Jo flere nyanser og detaljer som er med desto bedre. Det er i andre ledd i eksamensformuleringen at man kan eksellere. Her handler det om A å vise hvordan kulturen skaper mekanismer som bidrar til å konsolidere atferd i organisasjoner. Det gir pluss hvis studenten reflekterer over forskjellen på interne kulturer og kulturer som er betinget av omgivelsene i dette henseendet (som for eksempel arbeiderkollektivkulturen er betinget av arbeiderklassekulturen i klassesamfunnet rundt. B så handler det å vise hvordan ulike planlagte endrings eller læringsintervensjoner kan bidra til å utfordre disse mekanismene, stille spørsmål ved grunnleggende antakelser, normer og verdier etc.. En C svarer greit på første </w:t>
      </w:r>
      <w:r>
        <w:rPr>
          <w:sz w:val="20"/>
          <w:szCs w:val="20"/>
        </w:rPr>
        <w:lastRenderedPageBreak/>
        <w:t xml:space="preserve">spørsmål og er mindre reflektert på det andre leddet. A og B har første redegjørelsen i orden og gjennomfører reflekterte drøftinger av det andre leddet.  </w:t>
      </w:r>
    </w:p>
    <w:p w:rsidR="00E45173" w:rsidRDefault="00E45173" w:rsidP="00E45173">
      <w:pPr>
        <w:rPr>
          <w:sz w:val="20"/>
          <w:szCs w:val="20"/>
        </w:rPr>
      </w:pPr>
    </w:p>
    <w:p w:rsidR="00E45173" w:rsidRDefault="00E45173" w:rsidP="00E45173">
      <w:pPr>
        <w:rPr>
          <w:b/>
          <w:sz w:val="20"/>
          <w:szCs w:val="20"/>
        </w:rPr>
      </w:pPr>
      <w:r>
        <w:rPr>
          <w:b/>
          <w:sz w:val="20"/>
          <w:szCs w:val="20"/>
        </w:rPr>
        <w:t>Semesteroppgaven</w:t>
      </w:r>
    </w:p>
    <w:p w:rsidR="00E45173" w:rsidRDefault="00E45173" w:rsidP="00E45173">
      <w:pPr>
        <w:rPr>
          <w:sz w:val="20"/>
          <w:szCs w:val="20"/>
        </w:rPr>
      </w:pPr>
      <w:r>
        <w:rPr>
          <w:sz w:val="20"/>
          <w:szCs w:val="20"/>
        </w:rPr>
        <w:t xml:space="preserve">Følger standardiserte retningslinjer. </w:t>
      </w:r>
    </w:p>
    <w:p w:rsidR="00E45173" w:rsidRDefault="00E45173" w:rsidP="00E45173">
      <w:pPr>
        <w:rPr>
          <w:sz w:val="20"/>
          <w:szCs w:val="20"/>
        </w:rPr>
      </w:pPr>
      <w:hyperlink r:id="rId5" w:tgtFrame="_blank" w:history="1">
        <w:r>
          <w:rPr>
            <w:rStyle w:val="Hyperlink"/>
            <w:sz w:val="20"/>
            <w:szCs w:val="20"/>
          </w:rPr>
          <w:t>http://www.uio.no/studier/program/sosiologi/undervising/individuell_oppgave.html</w:t>
        </w:r>
      </w:hyperlink>
    </w:p>
    <w:p w:rsidR="00E45173" w:rsidRDefault="00E45173" w:rsidP="00E45173">
      <w:pPr>
        <w:rPr>
          <w:sz w:val="20"/>
          <w:szCs w:val="20"/>
        </w:rPr>
      </w:pPr>
      <w:r>
        <w:rPr>
          <w:sz w:val="20"/>
          <w:szCs w:val="20"/>
        </w:rPr>
        <w:t xml:space="preserve">Det er vektlagt at oppgaven skal være pensumrelevant, omhandle temaer som er på pensum og helst være forankret i minst en tekst på pensum. Men da vil det i tillegg være pluss om andre tekster fra utsiden av pensum trekkes inn og kombineres m pensum, hvis dette virker fruktbart. Det er også vektlagt at et «materiale» skal analyseres, hvilket innebærer at man anvender teoretiske perspektiver på case eller eksempler som man enten kan skrive fram selv eller hente fra litteraturen.    </w:t>
      </w:r>
    </w:p>
    <w:p w:rsidR="00E45173" w:rsidRDefault="00E45173" w:rsidP="00E45173">
      <w:pPr>
        <w:rPr>
          <w:sz w:val="20"/>
          <w:szCs w:val="20"/>
        </w:rPr>
      </w:pPr>
    </w:p>
    <w:p w:rsidR="00122B0F" w:rsidRDefault="00122B0F"/>
    <w:p w:rsidR="003E620C" w:rsidRDefault="003E620C"/>
    <w:sectPr w:rsidR="003E62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E27129"/>
    <w:multiLevelType w:val="hybridMultilevel"/>
    <w:tmpl w:val="E1D8BC3E"/>
    <w:lvl w:ilvl="0" w:tplc="267CB41E">
      <w:start w:val="1"/>
      <w:numFmt w:val="bullet"/>
      <w:lvlText w:val="•"/>
      <w:lvlJc w:val="left"/>
      <w:pPr>
        <w:tabs>
          <w:tab w:val="num" w:pos="720"/>
        </w:tabs>
        <w:ind w:left="720" w:hanging="360"/>
      </w:pPr>
      <w:rPr>
        <w:rFonts w:ascii="Arial" w:hAnsi="Arial" w:hint="default"/>
      </w:rPr>
    </w:lvl>
    <w:lvl w:ilvl="1" w:tplc="945ADC9A" w:tentative="1">
      <w:start w:val="1"/>
      <w:numFmt w:val="bullet"/>
      <w:lvlText w:val="•"/>
      <w:lvlJc w:val="left"/>
      <w:pPr>
        <w:tabs>
          <w:tab w:val="num" w:pos="1440"/>
        </w:tabs>
        <w:ind w:left="1440" w:hanging="360"/>
      </w:pPr>
      <w:rPr>
        <w:rFonts w:ascii="Arial" w:hAnsi="Arial" w:hint="default"/>
      </w:rPr>
    </w:lvl>
    <w:lvl w:ilvl="2" w:tplc="9C46BEE6" w:tentative="1">
      <w:start w:val="1"/>
      <w:numFmt w:val="bullet"/>
      <w:lvlText w:val="•"/>
      <w:lvlJc w:val="left"/>
      <w:pPr>
        <w:tabs>
          <w:tab w:val="num" w:pos="2160"/>
        </w:tabs>
        <w:ind w:left="2160" w:hanging="360"/>
      </w:pPr>
      <w:rPr>
        <w:rFonts w:ascii="Arial" w:hAnsi="Arial" w:hint="default"/>
      </w:rPr>
    </w:lvl>
    <w:lvl w:ilvl="3" w:tplc="18DAA1DA" w:tentative="1">
      <w:start w:val="1"/>
      <w:numFmt w:val="bullet"/>
      <w:lvlText w:val="•"/>
      <w:lvlJc w:val="left"/>
      <w:pPr>
        <w:tabs>
          <w:tab w:val="num" w:pos="2880"/>
        </w:tabs>
        <w:ind w:left="2880" w:hanging="360"/>
      </w:pPr>
      <w:rPr>
        <w:rFonts w:ascii="Arial" w:hAnsi="Arial" w:hint="default"/>
      </w:rPr>
    </w:lvl>
    <w:lvl w:ilvl="4" w:tplc="BC8012B4" w:tentative="1">
      <w:start w:val="1"/>
      <w:numFmt w:val="bullet"/>
      <w:lvlText w:val="•"/>
      <w:lvlJc w:val="left"/>
      <w:pPr>
        <w:tabs>
          <w:tab w:val="num" w:pos="3600"/>
        </w:tabs>
        <w:ind w:left="3600" w:hanging="360"/>
      </w:pPr>
      <w:rPr>
        <w:rFonts w:ascii="Arial" w:hAnsi="Arial" w:hint="default"/>
      </w:rPr>
    </w:lvl>
    <w:lvl w:ilvl="5" w:tplc="F1724DF6" w:tentative="1">
      <w:start w:val="1"/>
      <w:numFmt w:val="bullet"/>
      <w:lvlText w:val="•"/>
      <w:lvlJc w:val="left"/>
      <w:pPr>
        <w:tabs>
          <w:tab w:val="num" w:pos="4320"/>
        </w:tabs>
        <w:ind w:left="4320" w:hanging="360"/>
      </w:pPr>
      <w:rPr>
        <w:rFonts w:ascii="Arial" w:hAnsi="Arial" w:hint="default"/>
      </w:rPr>
    </w:lvl>
    <w:lvl w:ilvl="6" w:tplc="34286BB2" w:tentative="1">
      <w:start w:val="1"/>
      <w:numFmt w:val="bullet"/>
      <w:lvlText w:val="•"/>
      <w:lvlJc w:val="left"/>
      <w:pPr>
        <w:tabs>
          <w:tab w:val="num" w:pos="5040"/>
        </w:tabs>
        <w:ind w:left="5040" w:hanging="360"/>
      </w:pPr>
      <w:rPr>
        <w:rFonts w:ascii="Arial" w:hAnsi="Arial" w:hint="default"/>
      </w:rPr>
    </w:lvl>
    <w:lvl w:ilvl="7" w:tplc="E35E3276" w:tentative="1">
      <w:start w:val="1"/>
      <w:numFmt w:val="bullet"/>
      <w:lvlText w:val="•"/>
      <w:lvlJc w:val="left"/>
      <w:pPr>
        <w:tabs>
          <w:tab w:val="num" w:pos="5760"/>
        </w:tabs>
        <w:ind w:left="5760" w:hanging="360"/>
      </w:pPr>
      <w:rPr>
        <w:rFonts w:ascii="Arial" w:hAnsi="Arial" w:hint="default"/>
      </w:rPr>
    </w:lvl>
    <w:lvl w:ilvl="8" w:tplc="63C055A6"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D9C"/>
    <w:rsid w:val="000C6943"/>
    <w:rsid w:val="0011380C"/>
    <w:rsid w:val="00122B0F"/>
    <w:rsid w:val="002756A1"/>
    <w:rsid w:val="003E620C"/>
    <w:rsid w:val="006231DD"/>
    <w:rsid w:val="007156A2"/>
    <w:rsid w:val="007E2D35"/>
    <w:rsid w:val="00880F9A"/>
    <w:rsid w:val="008C6002"/>
    <w:rsid w:val="008F5996"/>
    <w:rsid w:val="00B73D63"/>
    <w:rsid w:val="00BB6B19"/>
    <w:rsid w:val="00BE4A29"/>
    <w:rsid w:val="00CD3767"/>
    <w:rsid w:val="00D47FA1"/>
    <w:rsid w:val="00DE016C"/>
    <w:rsid w:val="00E33570"/>
    <w:rsid w:val="00E45173"/>
    <w:rsid w:val="00E70CCE"/>
    <w:rsid w:val="00ED6807"/>
    <w:rsid w:val="00F02D9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CC4F5"/>
  <w15:chartTrackingRefBased/>
  <w15:docId w15:val="{D57DC895-B6B3-451C-B543-6479553BD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451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756541">
      <w:bodyDiv w:val="1"/>
      <w:marLeft w:val="0"/>
      <w:marRight w:val="0"/>
      <w:marTop w:val="0"/>
      <w:marBottom w:val="0"/>
      <w:divBdr>
        <w:top w:val="none" w:sz="0" w:space="0" w:color="auto"/>
        <w:left w:val="none" w:sz="0" w:space="0" w:color="auto"/>
        <w:bottom w:val="none" w:sz="0" w:space="0" w:color="auto"/>
        <w:right w:val="none" w:sz="0" w:space="0" w:color="auto"/>
      </w:divBdr>
    </w:div>
    <w:div w:id="225997116">
      <w:bodyDiv w:val="1"/>
      <w:marLeft w:val="0"/>
      <w:marRight w:val="0"/>
      <w:marTop w:val="0"/>
      <w:marBottom w:val="0"/>
      <w:divBdr>
        <w:top w:val="none" w:sz="0" w:space="0" w:color="auto"/>
        <w:left w:val="none" w:sz="0" w:space="0" w:color="auto"/>
        <w:bottom w:val="none" w:sz="0" w:space="0" w:color="auto"/>
        <w:right w:val="none" w:sz="0" w:space="0" w:color="auto"/>
      </w:divBdr>
    </w:div>
    <w:div w:id="451290281">
      <w:bodyDiv w:val="1"/>
      <w:marLeft w:val="0"/>
      <w:marRight w:val="0"/>
      <w:marTop w:val="0"/>
      <w:marBottom w:val="0"/>
      <w:divBdr>
        <w:top w:val="none" w:sz="0" w:space="0" w:color="auto"/>
        <w:left w:val="none" w:sz="0" w:space="0" w:color="auto"/>
        <w:bottom w:val="none" w:sz="0" w:space="0" w:color="auto"/>
        <w:right w:val="none" w:sz="0" w:space="0" w:color="auto"/>
      </w:divBdr>
      <w:divsChild>
        <w:div w:id="1500002882">
          <w:marLeft w:val="360"/>
          <w:marRight w:val="0"/>
          <w:marTop w:val="200"/>
          <w:marBottom w:val="0"/>
          <w:divBdr>
            <w:top w:val="none" w:sz="0" w:space="0" w:color="auto"/>
            <w:left w:val="none" w:sz="0" w:space="0" w:color="auto"/>
            <w:bottom w:val="none" w:sz="0" w:space="0" w:color="auto"/>
            <w:right w:val="none" w:sz="0" w:space="0" w:color="auto"/>
          </w:divBdr>
        </w:div>
      </w:divsChild>
    </w:div>
    <w:div w:id="1314216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io.no/studier/program/sosiologi/undervising/individuell_oppgave.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2</Pages>
  <Words>663</Words>
  <Characters>3520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4175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Klemsdal</dc:creator>
  <cp:keywords/>
  <dc:description/>
  <cp:lastModifiedBy>Lars Klemsdal</cp:lastModifiedBy>
  <cp:revision>7</cp:revision>
  <dcterms:created xsi:type="dcterms:W3CDTF">2018-04-09T09:50:00Z</dcterms:created>
  <dcterms:modified xsi:type="dcterms:W3CDTF">2018-04-09T11:52:00Z</dcterms:modified>
</cp:coreProperties>
</file>